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86CF" w14:textId="0B8CEDE6" w:rsidR="0093002C" w:rsidRPr="00BE7BD0" w:rsidRDefault="0093002C" w:rsidP="0093002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                                                      R1</w:t>
      </w:r>
      <w:r w:rsidRPr="00BE7BD0">
        <w:rPr>
          <w:b/>
          <w:noProof/>
          <w:sz w:val="24"/>
        </w:rPr>
        <w:t>-22</w:t>
      </w:r>
      <w:r w:rsidR="001A46E8">
        <w:rPr>
          <w:b/>
          <w:noProof/>
          <w:sz w:val="24"/>
        </w:rPr>
        <w:t>07336</w:t>
      </w:r>
      <w:r>
        <w:rPr>
          <w:b/>
          <w:i/>
          <w:noProof/>
          <w:sz w:val="28"/>
        </w:rPr>
        <w:tab/>
      </w:r>
    </w:p>
    <w:p w14:paraId="71F78F82" w14:textId="77777777" w:rsidR="0093002C" w:rsidRPr="007F0E75" w:rsidRDefault="0093002C" w:rsidP="0093002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>
        <w:rPr>
          <w:rFonts w:ascii="Arial" w:eastAsia="MS Mincho" w:hAnsi="Arial" w:cs="Arial"/>
          <w:b/>
          <w:bCs/>
          <w:szCs w:val="22"/>
        </w:rPr>
        <w:t>Toulouse</w:t>
      </w:r>
      <w:r w:rsidRPr="007F0E75">
        <w:rPr>
          <w:rFonts w:ascii="Arial" w:eastAsia="MS Mincho" w:hAnsi="Arial" w:cs="Arial"/>
          <w:b/>
          <w:bCs/>
          <w:szCs w:val="22"/>
        </w:rPr>
        <w:t xml:space="preserve">, </w:t>
      </w:r>
      <w:r>
        <w:rPr>
          <w:rFonts w:ascii="Arial" w:eastAsia="MS Mincho" w:hAnsi="Arial" w:cs="Arial"/>
          <w:b/>
          <w:bCs/>
          <w:szCs w:val="22"/>
        </w:rPr>
        <w:t>France, August</w:t>
      </w:r>
      <w:r w:rsidRPr="00A100E4">
        <w:rPr>
          <w:rFonts w:ascii="Arial" w:eastAsia="MS Mincho" w:hAnsi="Arial" w:cs="Arial"/>
          <w:b/>
          <w:bCs/>
          <w:szCs w:val="22"/>
        </w:rPr>
        <w:t xml:space="preserve"> </w:t>
      </w:r>
      <w:r>
        <w:rPr>
          <w:rFonts w:ascii="Arial" w:eastAsia="MS Mincho" w:hAnsi="Arial" w:cs="Arial"/>
          <w:b/>
          <w:bCs/>
          <w:szCs w:val="22"/>
        </w:rPr>
        <w:t>22</w:t>
      </w:r>
      <w:r w:rsidRPr="00A100E4">
        <w:rPr>
          <w:rFonts w:ascii="Arial" w:eastAsia="MS Mincho" w:hAnsi="Arial" w:cs="Arial"/>
          <w:b/>
          <w:bCs/>
          <w:szCs w:val="22"/>
          <w:vertAlign w:val="superscript"/>
        </w:rPr>
        <w:t>nd</w:t>
      </w:r>
      <w:r w:rsidRPr="00A100E4">
        <w:rPr>
          <w:rFonts w:ascii="Arial" w:eastAsia="MS Mincho" w:hAnsi="Arial" w:cs="Arial"/>
          <w:b/>
          <w:bCs/>
          <w:szCs w:val="22"/>
        </w:rPr>
        <w:t xml:space="preserve"> – 2</w:t>
      </w:r>
      <w:r>
        <w:rPr>
          <w:rFonts w:ascii="Arial" w:eastAsia="MS Mincho" w:hAnsi="Arial" w:cs="Arial"/>
          <w:b/>
          <w:bCs/>
          <w:szCs w:val="22"/>
        </w:rPr>
        <w:t>6</w:t>
      </w:r>
      <w:r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75B1327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EF1791">
        <w:rPr>
          <w:sz w:val="22"/>
          <w:szCs w:val="22"/>
        </w:rPr>
        <w:t>3</w:t>
      </w:r>
      <w:r w:rsidR="007A41E3">
        <w:rPr>
          <w:sz w:val="22"/>
          <w:szCs w:val="22"/>
        </w:rPr>
        <w:t>.</w:t>
      </w:r>
      <w:r w:rsidR="001801FF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5291CB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801FF">
        <w:rPr>
          <w:sz w:val="22"/>
          <w:szCs w:val="22"/>
        </w:rPr>
        <w:t>View on potential enhancements for dynamic TDD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3924A59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500DE7">
        <w:rPr>
          <w:sz w:val="20"/>
          <w:szCs w:val="20"/>
        </w:rPr>
        <w:t xml:space="preserve">In </w:t>
      </w:r>
      <w:r w:rsidRPr="00EF1791">
        <w:rPr>
          <w:sz w:val="20"/>
          <w:szCs w:val="20"/>
        </w:rPr>
        <w:t>In RAN</w:t>
      </w:r>
      <w:r>
        <w:rPr>
          <w:sz w:val="20"/>
          <w:szCs w:val="20"/>
        </w:rPr>
        <w:t>#</w:t>
      </w:r>
      <w:r w:rsidRPr="00EF1791">
        <w:rPr>
          <w:sz w:val="20"/>
          <w:szCs w:val="20"/>
        </w:rPr>
        <w:t>94</w:t>
      </w:r>
      <w:r>
        <w:rPr>
          <w:sz w:val="20"/>
          <w:szCs w:val="20"/>
        </w:rPr>
        <w:t xml:space="preserve"> e-</w:t>
      </w:r>
      <w:r w:rsidRPr="00EF1791">
        <w:rPr>
          <w:sz w:val="20"/>
          <w:szCs w:val="20"/>
        </w:rPr>
        <w:t>meeting, a new study item, ‘Study on Evolution of NR Duplex Operation’, was approved</w:t>
      </w:r>
      <w:r>
        <w:rPr>
          <w:sz w:val="20"/>
          <w:szCs w:val="20"/>
        </w:rPr>
        <w:t xml:space="preserve"> to </w:t>
      </w:r>
      <w:r w:rsidRPr="00EF1791">
        <w:rPr>
          <w:sz w:val="20"/>
          <w:szCs w:val="20"/>
          <w:lang w:val="en-GB"/>
        </w:rPr>
        <w:t>identify and evaluate the potential enhancements to support duplex evolution for NR TDD in unpaired spectrum</w:t>
      </w:r>
      <w:r w:rsidRPr="00EF1791">
        <w:rPr>
          <w:sz w:val="20"/>
          <w:szCs w:val="20"/>
        </w:rPr>
        <w:t xml:space="preserve"> with some of objectives as follows</w:t>
      </w:r>
      <w:r>
        <w:rPr>
          <w:sz w:val="20"/>
          <w:szCs w:val="20"/>
        </w:rPr>
        <w:t xml:space="preserve"> [1]</w:t>
      </w:r>
      <w:r w:rsidRPr="00EF1791">
        <w:rPr>
          <w:sz w:val="20"/>
          <w:szCs w:val="20"/>
        </w:rPr>
        <w:t>:</w:t>
      </w:r>
    </w:p>
    <w:p w14:paraId="5E3B0AD4" w14:textId="77777777" w:rsidR="00D23103" w:rsidRPr="00C45A30" w:rsidRDefault="00D23103" w:rsidP="00D23103">
      <w:pPr>
        <w:numPr>
          <w:ilvl w:val="0"/>
          <w:numId w:val="23"/>
        </w:numPr>
        <w:tabs>
          <w:tab w:val="left" w:pos="640"/>
        </w:tabs>
        <w:jc w:val="both"/>
        <w:rPr>
          <w:rFonts w:ascii="Times" w:eastAsia="Batang" w:hAnsi="Times"/>
          <w:sz w:val="20"/>
          <w:szCs w:val="20"/>
          <w:lang w:eastAsia="x-none"/>
        </w:rPr>
      </w:pPr>
      <w:r w:rsidRPr="00C45A30">
        <w:rPr>
          <w:rFonts w:ascii="Times" w:eastAsia="Batang" w:hAnsi="Times" w:hint="eastAsia"/>
          <w:sz w:val="20"/>
          <w:szCs w:val="20"/>
          <w:lang w:eastAsia="x-none"/>
        </w:rPr>
        <w:t xml:space="preserve">Study </w:t>
      </w:r>
      <w:r w:rsidRPr="00C45A30">
        <w:rPr>
          <w:rFonts w:ascii="Times" w:eastAsia="Batang" w:hAnsi="Times"/>
          <w:sz w:val="20"/>
          <w:szCs w:val="20"/>
          <w:lang w:eastAsia="x-none"/>
        </w:rPr>
        <w:t xml:space="preserve">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 and </w:t>
      </w:r>
      <w:bookmarkStart w:id="0" w:name="_Hlk89796625"/>
      <w:r w:rsidRPr="00C45A30">
        <w:rPr>
          <w:rFonts w:ascii="Times" w:eastAsia="Batang" w:hAnsi="Times"/>
          <w:sz w:val="20"/>
          <w:szCs w:val="20"/>
          <w:lang w:eastAsia="x-none"/>
        </w:rPr>
        <w:t xml:space="preserve">potential enhancements on 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dynamic/flexible TDD</w:t>
      </w:r>
      <w:bookmarkEnd w:id="0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(RAN1, RAN4).</w:t>
      </w:r>
    </w:p>
    <w:p w14:paraId="1A1B405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Identify possible schemes and evaluate their feasibility and performances (RAN1).</w:t>
      </w:r>
    </w:p>
    <w:p w14:paraId="227FC423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gNB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and inter-UE CLI handling and identify solutions to manage them (RAN1). </w:t>
      </w:r>
    </w:p>
    <w:p w14:paraId="1A944297" w14:textId="77777777" w:rsidR="00D23103" w:rsidRPr="00C45A30" w:rsidRDefault="00D23103" w:rsidP="00D23103">
      <w:pPr>
        <w:numPr>
          <w:ilvl w:val="1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Consider intra-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and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in case of 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.</w:t>
      </w:r>
    </w:p>
    <w:p w14:paraId="44CB667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the performance of the identified schemes as well as the impact on legacy operation assuming their co-existence in co-channel and adjacent channels (RAN1).</w:t>
      </w:r>
    </w:p>
    <w:p w14:paraId="4A267AE8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</w:p>
    <w:p w14:paraId="4145FF68" w14:textId="1D588C18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EF1791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this contribution, we share our views on </w:t>
      </w:r>
      <w:r w:rsidR="00591DF5">
        <w:rPr>
          <w:sz w:val="20"/>
          <w:szCs w:val="20"/>
          <w:lang w:val="en-GB"/>
        </w:rPr>
        <w:t>feasibility of dynamic TDD</w:t>
      </w:r>
      <w:r>
        <w:rPr>
          <w:sz w:val="20"/>
          <w:szCs w:val="20"/>
        </w:rPr>
        <w:t>.</w:t>
      </w:r>
      <w:r w:rsidR="0087477F">
        <w:rPr>
          <w:sz w:val="20"/>
          <w:szCs w:val="20"/>
        </w:rPr>
        <w:t xml:space="preserve"> This contribution is a resubmission of </w:t>
      </w:r>
      <w:r w:rsidR="0087477F" w:rsidRPr="0087477F">
        <w:rPr>
          <w:bCs/>
          <w:sz w:val="20"/>
          <w:szCs w:val="20"/>
        </w:rPr>
        <w:t>R1-2204246.</w:t>
      </w:r>
    </w:p>
    <w:p w14:paraId="4E51CF29" w14:textId="1CF0458E" w:rsidR="004E01AD" w:rsidRDefault="006742F1" w:rsidP="00FA5BF8">
      <w:pPr>
        <w:pStyle w:val="Heading1"/>
      </w:pPr>
      <w:r>
        <w:t>Scope of dynamic TDD study</w:t>
      </w:r>
    </w:p>
    <w:p w14:paraId="497B4C1B" w14:textId="44B03F5F" w:rsidR="006742F1" w:rsidRDefault="006742F1" w:rsidP="006D4F66">
      <w:pPr>
        <w:jc w:val="both"/>
        <w:rPr>
          <w:sz w:val="20"/>
          <w:szCs w:val="20"/>
        </w:rPr>
      </w:pPr>
      <w:r w:rsidRPr="006742F1">
        <w:rPr>
          <w:sz w:val="20"/>
          <w:szCs w:val="20"/>
        </w:rPr>
        <w:t xml:space="preserve">A work item was conducted in Rel-16 to address UE-to-UE cross link interference (CLI) and </w:t>
      </w:r>
      <w:proofErr w:type="spellStart"/>
      <w:r w:rsidRPr="006742F1">
        <w:rPr>
          <w:sz w:val="20"/>
          <w:szCs w:val="20"/>
        </w:rPr>
        <w:t>gNB</w:t>
      </w:r>
      <w:proofErr w:type="spellEnd"/>
      <w:r w:rsidRPr="006742F1">
        <w:rPr>
          <w:sz w:val="20"/>
          <w:szCs w:val="20"/>
        </w:rPr>
        <w:t>-to-</w:t>
      </w:r>
      <w:proofErr w:type="spellStart"/>
      <w:r w:rsidRPr="006742F1">
        <w:rPr>
          <w:sz w:val="20"/>
          <w:szCs w:val="20"/>
        </w:rPr>
        <w:t>gNB</w:t>
      </w:r>
      <w:proofErr w:type="spellEnd"/>
      <w:r w:rsidRPr="006742F1">
        <w:rPr>
          <w:sz w:val="20"/>
          <w:szCs w:val="20"/>
        </w:rPr>
        <w:t xml:space="preserve"> remote interference management (RIM). Although it should be noted that for the work in Rel-16, the interference is mainly due to misalignment of TDD pattern (</w:t>
      </w:r>
      <w:proofErr w:type="spellStart"/>
      <w:r w:rsidRPr="006742F1">
        <w:rPr>
          <w:sz w:val="20"/>
          <w:szCs w:val="20"/>
        </w:rPr>
        <w:t>e.g</w:t>
      </w:r>
      <w:proofErr w:type="spellEnd"/>
      <w:r w:rsidRPr="006742F1">
        <w:rPr>
          <w:sz w:val="20"/>
          <w:szCs w:val="20"/>
        </w:rPr>
        <w:t xml:space="preserve"> due to long propagation delay at the cell-edge UEs). As a result, the specified solutions are semi-static solutions, like exchange of default uplink-downlink TDD pattern between nodes.</w:t>
      </w:r>
    </w:p>
    <w:p w14:paraId="387C0544" w14:textId="14C76EA1" w:rsidR="00F44B12" w:rsidRDefault="00F44B12" w:rsidP="006D4F66">
      <w:pPr>
        <w:jc w:val="both"/>
        <w:rPr>
          <w:sz w:val="20"/>
          <w:szCs w:val="20"/>
        </w:rPr>
      </w:pPr>
      <w:r w:rsidRPr="00907ABC">
        <w:rPr>
          <w:sz w:val="20"/>
          <w:szCs w:val="20"/>
        </w:rPr>
        <w:t>As part of the CLI WI</w:t>
      </w:r>
      <w:r>
        <w:rPr>
          <w:sz w:val="20"/>
          <w:szCs w:val="20"/>
        </w:rPr>
        <w:t xml:space="preserve"> in Rel-16, and for</w:t>
      </w:r>
      <w:r w:rsidRPr="00907ABC">
        <w:rPr>
          <w:sz w:val="20"/>
          <w:szCs w:val="20"/>
        </w:rPr>
        <w:t xml:space="preserve"> the adjacent channel co-existence, RAN4 investigate</w:t>
      </w:r>
      <w:r>
        <w:rPr>
          <w:sz w:val="20"/>
          <w:szCs w:val="20"/>
        </w:rPr>
        <w:t>d the performance degradation on the victim UE/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due to UE-</w:t>
      </w:r>
      <w:proofErr w:type="spellStart"/>
      <w:r>
        <w:rPr>
          <w:sz w:val="20"/>
          <w:szCs w:val="20"/>
        </w:rPr>
        <w:t>toUE</w:t>
      </w:r>
      <w:proofErr w:type="spellEnd"/>
      <w:r>
        <w:rPr>
          <w:sz w:val="20"/>
          <w:szCs w:val="20"/>
        </w:rPr>
        <w:t xml:space="preserve"> CLI and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-to-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CLI </w:t>
      </w:r>
      <w:proofErr w:type="gramStart"/>
      <w:r>
        <w:rPr>
          <w:sz w:val="20"/>
          <w:szCs w:val="20"/>
        </w:rPr>
        <w:t>as a result of</w:t>
      </w:r>
      <w:proofErr w:type="gramEnd"/>
      <w:r>
        <w:rPr>
          <w:sz w:val="20"/>
          <w:szCs w:val="20"/>
        </w:rPr>
        <w:t xml:space="preserve"> dynamic TDD operation at the aggressor node [2]</w:t>
      </w:r>
      <w:r w:rsidRPr="00907ABC">
        <w:rPr>
          <w:sz w:val="20"/>
          <w:szCs w:val="20"/>
        </w:rPr>
        <w:t>.</w:t>
      </w:r>
      <w:r>
        <w:rPr>
          <w:sz w:val="20"/>
          <w:szCs w:val="20"/>
        </w:rPr>
        <w:t xml:space="preserve"> It is observed that for adjacent channel co-existence, when higher BS power is assumed and/or the distance between aggressor UE and serving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is large (so aggressive UE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transmit with high power), we may have performance degradation, respectively due to BS-to-BS CLI and UE-to-UE CLI [2].</w:t>
      </w:r>
    </w:p>
    <w:p w14:paraId="41EBE277" w14:textId="77777777" w:rsidR="006310E9" w:rsidRDefault="006310E9" w:rsidP="006D4F66">
      <w:pPr>
        <w:jc w:val="both"/>
        <w:rPr>
          <w:sz w:val="20"/>
          <w:szCs w:val="20"/>
        </w:rPr>
      </w:pPr>
    </w:p>
    <w:p w14:paraId="04ED6A8F" w14:textId="77777777" w:rsidR="006310E9" w:rsidRDefault="006310E9" w:rsidP="006310E9">
      <w:pPr>
        <w:jc w:val="center"/>
        <w:rPr>
          <w:rFonts w:cs="Batang"/>
          <w:sz w:val="20"/>
          <w:szCs w:val="20"/>
          <w:lang w:val="en-GB" w:eastAsia="ja-JP"/>
        </w:rPr>
      </w:pPr>
      <w:r w:rsidRPr="002B3993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41DA0C5E" wp14:editId="6519405F">
            <wp:extent cx="1316493" cy="971768"/>
            <wp:effectExtent l="0" t="0" r="0" b="0"/>
            <wp:docPr id="1" name="Picture 1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43506" cy="99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D9B43" w14:textId="77777777" w:rsidR="006310E9" w:rsidRDefault="006310E9" w:rsidP="006310E9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1</w:t>
      </w:r>
      <w:r>
        <w:rPr>
          <w:lang w:val="en-US"/>
        </w:rPr>
        <w:t xml:space="preserve">: UE-to-UE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-to-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CLI in dynamic TDD </w:t>
      </w:r>
    </w:p>
    <w:p w14:paraId="36AF7A23" w14:textId="77777777" w:rsidR="006310E9" w:rsidRDefault="006310E9" w:rsidP="006D4F66">
      <w:pPr>
        <w:jc w:val="both"/>
        <w:rPr>
          <w:sz w:val="20"/>
          <w:szCs w:val="20"/>
          <w:lang w:val="en-GB"/>
        </w:rPr>
      </w:pPr>
    </w:p>
    <w:p w14:paraId="08BDB5B2" w14:textId="44AB2B44" w:rsidR="00E104F1" w:rsidRDefault="006742F1" w:rsidP="00E104F1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our companion paper in [</w:t>
      </w:r>
      <w:r w:rsidR="00F44B12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 xml:space="preserve">], we conducted some initial evaluations to study </w:t>
      </w:r>
      <w:r w:rsidR="001A18A7">
        <w:rPr>
          <w:sz w:val="20"/>
          <w:szCs w:val="20"/>
          <w:lang w:val="en-GB"/>
        </w:rPr>
        <w:t xml:space="preserve">indoor-to-indoor </w:t>
      </w:r>
      <w:r w:rsidR="00BA1905">
        <w:rPr>
          <w:sz w:val="20"/>
          <w:szCs w:val="20"/>
          <w:lang w:val="en-GB"/>
        </w:rPr>
        <w:t xml:space="preserve">co-channel </w:t>
      </w:r>
      <w:r>
        <w:rPr>
          <w:sz w:val="20"/>
          <w:szCs w:val="20"/>
          <w:lang w:val="en-GB"/>
        </w:rPr>
        <w:t xml:space="preserve">UE-to-UE CLI for dynamic TDD, </w:t>
      </w:r>
      <w:r w:rsidR="00BA1905">
        <w:rPr>
          <w:sz w:val="20"/>
          <w:szCs w:val="20"/>
          <w:lang w:val="en-GB"/>
        </w:rPr>
        <w:t>as</w:t>
      </w:r>
      <w:r>
        <w:rPr>
          <w:sz w:val="20"/>
          <w:szCs w:val="20"/>
          <w:lang w:val="en-GB"/>
        </w:rPr>
        <w:t xml:space="preserve"> an aggressor node wishes to change the default link direction from downlink to uplink, </w:t>
      </w:r>
      <w:r w:rsidR="00F44B12">
        <w:rPr>
          <w:sz w:val="20"/>
          <w:szCs w:val="20"/>
          <w:lang w:val="en-GB"/>
        </w:rPr>
        <w:t xml:space="preserve">which this results UE-to-UE and </w:t>
      </w:r>
      <w:proofErr w:type="spellStart"/>
      <w:r w:rsidR="00F44B12">
        <w:rPr>
          <w:sz w:val="20"/>
          <w:szCs w:val="20"/>
          <w:lang w:val="en-GB"/>
        </w:rPr>
        <w:t>gNB</w:t>
      </w:r>
      <w:proofErr w:type="spellEnd"/>
      <w:r w:rsidR="00F44B12">
        <w:rPr>
          <w:sz w:val="20"/>
          <w:szCs w:val="20"/>
          <w:lang w:val="en-GB"/>
        </w:rPr>
        <w:t>-to-</w:t>
      </w:r>
      <w:proofErr w:type="spellStart"/>
      <w:r w:rsidR="00F44B12">
        <w:rPr>
          <w:sz w:val="20"/>
          <w:szCs w:val="20"/>
          <w:lang w:val="en-GB"/>
        </w:rPr>
        <w:t>gNB</w:t>
      </w:r>
      <w:proofErr w:type="spellEnd"/>
      <w:r w:rsidR="00F44B12">
        <w:rPr>
          <w:sz w:val="20"/>
          <w:szCs w:val="20"/>
          <w:lang w:val="en-GB"/>
        </w:rPr>
        <w:t xml:space="preserve"> CLI between neighbouring cells, as shown in figure 1. Based on the results shown in [</w:t>
      </w:r>
      <w:r w:rsidR="00BA1905">
        <w:rPr>
          <w:sz w:val="20"/>
          <w:szCs w:val="20"/>
          <w:lang w:val="en-GB"/>
        </w:rPr>
        <w:t>3</w:t>
      </w:r>
      <w:r w:rsidR="00F44B12">
        <w:rPr>
          <w:sz w:val="20"/>
          <w:szCs w:val="20"/>
          <w:lang w:val="en-GB"/>
        </w:rPr>
        <w:t xml:space="preserve">], which are aligned with </w:t>
      </w:r>
      <w:r w:rsidR="001A18A7">
        <w:rPr>
          <w:sz w:val="20"/>
          <w:szCs w:val="20"/>
          <w:lang w:val="en-GB"/>
        </w:rPr>
        <w:t>former</w:t>
      </w:r>
      <w:r w:rsidR="00F44B12">
        <w:rPr>
          <w:sz w:val="20"/>
          <w:szCs w:val="20"/>
          <w:lang w:val="en-GB"/>
        </w:rPr>
        <w:t xml:space="preserve"> results</w:t>
      </w:r>
      <w:r w:rsidR="00BA1905">
        <w:rPr>
          <w:sz w:val="20"/>
          <w:szCs w:val="20"/>
          <w:lang w:val="en-GB"/>
        </w:rPr>
        <w:t xml:space="preserve"> for adjacent channel CLI evaluations in [2],</w:t>
      </w:r>
      <w:r w:rsidR="00F44B12">
        <w:rPr>
          <w:sz w:val="20"/>
          <w:szCs w:val="20"/>
          <w:lang w:val="en-GB"/>
        </w:rPr>
        <w:t xml:space="preserve"> it is observed that</w:t>
      </w:r>
      <w:r w:rsidR="00BA1905">
        <w:rPr>
          <w:sz w:val="20"/>
          <w:szCs w:val="20"/>
          <w:lang w:val="en-GB"/>
        </w:rPr>
        <w:t>:</w:t>
      </w:r>
    </w:p>
    <w:p w14:paraId="08C09CA8" w14:textId="77777777" w:rsidR="00E104F1" w:rsidRDefault="00E104F1" w:rsidP="00E104F1">
      <w:pPr>
        <w:pStyle w:val="ListParagraph"/>
        <w:numPr>
          <w:ilvl w:val="0"/>
          <w:numId w:val="24"/>
        </w:numPr>
        <w:ind w:leftChars="0"/>
        <w:jc w:val="both"/>
        <w:rPr>
          <w:szCs w:val="20"/>
        </w:rPr>
      </w:pPr>
      <w:r w:rsidRPr="00E104F1">
        <w:rPr>
          <w:szCs w:val="20"/>
        </w:rPr>
        <w:lastRenderedPageBreak/>
        <w:t>For indoor scenario, UL Tx power has a big impact (positive or negative) on the UE-to-UE CLI.</w:t>
      </w:r>
    </w:p>
    <w:p w14:paraId="0F3C4B3B" w14:textId="60468ED4" w:rsidR="00E104F1" w:rsidRPr="00E104F1" w:rsidRDefault="00E104F1" w:rsidP="00E104F1">
      <w:pPr>
        <w:pStyle w:val="ListParagraph"/>
        <w:numPr>
          <w:ilvl w:val="0"/>
          <w:numId w:val="24"/>
        </w:numPr>
        <w:ind w:leftChars="0"/>
        <w:jc w:val="both"/>
        <w:rPr>
          <w:szCs w:val="20"/>
        </w:rPr>
      </w:pPr>
      <w:r w:rsidRPr="00E104F1">
        <w:rPr>
          <w:szCs w:val="20"/>
        </w:rPr>
        <w:t>For most of indoor scenarios, the achievable gain in UL throughput is much less than the loss in DL throughput due to UE-to-UE CLI.</w:t>
      </w:r>
    </w:p>
    <w:p w14:paraId="710EB6AC" w14:textId="77777777" w:rsidR="00907ABC" w:rsidRDefault="00907ABC" w:rsidP="006D4F66">
      <w:pPr>
        <w:jc w:val="both"/>
        <w:rPr>
          <w:sz w:val="20"/>
          <w:szCs w:val="20"/>
          <w:lang w:val="en-GB"/>
        </w:rPr>
      </w:pPr>
    </w:p>
    <w:p w14:paraId="7E27421F" w14:textId="18F1A779" w:rsidR="000115C8" w:rsidRDefault="001A18A7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summarize the former evaluations in [2] and recent results in [3], in our view dynamic TDD is not recommended for macro-to-macro scenarios, where high BS power results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>-to-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CLI. In addition, for low power BS scenarios like indoor-to-indoor,</w:t>
      </w:r>
      <w:r w:rsidR="006310E9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UE</w:t>
      </w:r>
      <w:r>
        <w:rPr>
          <w:sz w:val="20"/>
          <w:szCs w:val="20"/>
          <w:vertAlign w:val="subscript"/>
          <w:lang w:val="en-GB"/>
        </w:rPr>
        <w:t>A</w:t>
      </w:r>
      <w:r>
        <w:rPr>
          <w:sz w:val="20"/>
          <w:szCs w:val="20"/>
          <w:lang w:val="en-GB"/>
        </w:rPr>
        <w:t>’s uplink Tx power can make a big UE-to-</w:t>
      </w:r>
      <w:r w:rsidR="006310E9">
        <w:rPr>
          <w:sz w:val="20"/>
          <w:szCs w:val="20"/>
          <w:lang w:val="en-GB"/>
        </w:rPr>
        <w:t>UE CLI and</w:t>
      </w:r>
      <w:r>
        <w:rPr>
          <w:sz w:val="20"/>
          <w:szCs w:val="20"/>
          <w:lang w:val="en-GB"/>
        </w:rPr>
        <w:t xml:space="preserve"> degrades UE</w:t>
      </w:r>
      <w:r>
        <w:rPr>
          <w:sz w:val="20"/>
          <w:szCs w:val="20"/>
          <w:vertAlign w:val="subscript"/>
          <w:lang w:val="en-GB"/>
        </w:rPr>
        <w:t>V</w:t>
      </w:r>
      <w:r>
        <w:rPr>
          <w:sz w:val="20"/>
          <w:szCs w:val="20"/>
          <w:lang w:val="en-GB"/>
        </w:rPr>
        <w:t>’s performance</w:t>
      </w:r>
      <w:r w:rsidR="006310E9">
        <w:rPr>
          <w:sz w:val="20"/>
          <w:szCs w:val="20"/>
          <w:lang w:val="en-GB"/>
        </w:rPr>
        <w:t>. Thus, in our view the use-case for dynamic TDD should be limited to low power BS and where the aggressor UE is cell-canter to its serving cell to reduce</w:t>
      </w:r>
      <w:r w:rsidR="00DD6B42">
        <w:rPr>
          <w:sz w:val="20"/>
          <w:szCs w:val="20"/>
          <w:lang w:val="en-GB"/>
        </w:rPr>
        <w:t xml:space="preserve"> UE</w:t>
      </w:r>
      <w:r w:rsidR="00DD6B42">
        <w:rPr>
          <w:sz w:val="20"/>
          <w:szCs w:val="20"/>
          <w:vertAlign w:val="subscript"/>
          <w:lang w:val="en-GB"/>
        </w:rPr>
        <w:t>V</w:t>
      </w:r>
      <w:r w:rsidR="00DD6B42">
        <w:rPr>
          <w:sz w:val="20"/>
          <w:szCs w:val="20"/>
          <w:lang w:val="en-GB"/>
        </w:rPr>
        <w:t>’s</w:t>
      </w:r>
      <w:r w:rsidR="006310E9">
        <w:rPr>
          <w:sz w:val="20"/>
          <w:szCs w:val="20"/>
          <w:lang w:val="en-GB"/>
        </w:rPr>
        <w:t xml:space="preserve"> </w:t>
      </w:r>
      <w:r w:rsidR="00DD6B42">
        <w:rPr>
          <w:sz w:val="20"/>
          <w:szCs w:val="20"/>
          <w:lang w:val="en-GB"/>
        </w:rPr>
        <w:t xml:space="preserve">performance degradation due to </w:t>
      </w:r>
      <w:r w:rsidR="006310E9">
        <w:rPr>
          <w:sz w:val="20"/>
          <w:szCs w:val="20"/>
          <w:lang w:val="en-GB"/>
        </w:rPr>
        <w:t xml:space="preserve">UE-to-UE CLI.  </w:t>
      </w:r>
    </w:p>
    <w:p w14:paraId="09B27ECA" w14:textId="1FB6B6D8" w:rsidR="001F3B07" w:rsidRDefault="001F3B07" w:rsidP="005E5E14">
      <w:pPr>
        <w:jc w:val="both"/>
        <w:rPr>
          <w:sz w:val="20"/>
          <w:szCs w:val="20"/>
          <w:lang w:val="en-GB"/>
        </w:rPr>
      </w:pPr>
    </w:p>
    <w:p w14:paraId="3F913D6F" w14:textId="572B7CFF" w:rsidR="001F3B07" w:rsidRPr="001A18A7" w:rsidRDefault="001F3B07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Based on the above discussion, we propose the following:</w:t>
      </w:r>
    </w:p>
    <w:p w14:paraId="246E0631" w14:textId="5730973F" w:rsidR="006D4F66" w:rsidRPr="006D4F66" w:rsidRDefault="00A2619E" w:rsidP="005E5E14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r w:rsidR="006D4F66" w:rsidRPr="006D4F66">
        <w:rPr>
          <w:sz w:val="20"/>
          <w:szCs w:val="20"/>
          <w:lang w:val="en-GB"/>
        </w:rPr>
        <w:t xml:space="preserve"> </w:t>
      </w:r>
    </w:p>
    <w:p w14:paraId="786BD7F1" w14:textId="2928A0FE" w:rsidR="000115C8" w:rsidRDefault="000115C8" w:rsidP="000115C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EF0BF7">
        <w:rPr>
          <w:b/>
          <w:bCs/>
          <w:i/>
          <w:iCs/>
          <w:lang w:val="en-US" w:eastAsia="zh-CN"/>
        </w:rPr>
        <w:t xml:space="preserve">The scope of </w:t>
      </w:r>
      <w:r w:rsidR="001F3B07">
        <w:rPr>
          <w:b/>
          <w:bCs/>
          <w:i/>
          <w:iCs/>
          <w:lang w:val="en-US" w:eastAsia="zh-CN"/>
        </w:rPr>
        <w:t>R18 study on dynamic TDD shall be limited to cell-center aggressor UE with reduced transmit power</w:t>
      </w:r>
      <w:r w:rsidRPr="00E96C6C">
        <w:rPr>
          <w:b/>
          <w:bCs/>
          <w:i/>
          <w:iCs/>
          <w:lang w:val="en-US" w:eastAsia="zh-CN"/>
        </w:rPr>
        <w:t>.</w:t>
      </w:r>
    </w:p>
    <w:p w14:paraId="36300299" w14:textId="2BF04963" w:rsidR="007E4A87" w:rsidRPr="007E4A87" w:rsidRDefault="007E4A87" w:rsidP="00041650">
      <w:pPr>
        <w:jc w:val="both"/>
        <w:rPr>
          <w:sz w:val="20"/>
          <w:szCs w:val="20"/>
          <w:lang w:val="en-GB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10BE6EC2" w14:textId="26DAB876" w:rsidR="00EF0BF7" w:rsidRDefault="00EF0BF7" w:rsidP="00EF0BF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this contribution, we provided our views on CLI management for dynamic TDD. Based on what we discussed, the following proposal is made:</w:t>
      </w:r>
    </w:p>
    <w:p w14:paraId="305B8167" w14:textId="780FEF03" w:rsidR="00EF0BF7" w:rsidRDefault="00EF0BF7" w:rsidP="00EF0BF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The scope of R18 study on dynamic TDD shall be limited to cell-center aggressor UE with reduced transmit power</w:t>
      </w:r>
      <w:r w:rsidRPr="00E96C6C">
        <w:rPr>
          <w:b/>
          <w:bCs/>
          <w:i/>
          <w:iCs/>
          <w:lang w:val="en-US" w:eastAsia="zh-CN"/>
        </w:rPr>
        <w:t>.</w:t>
      </w:r>
    </w:p>
    <w:p w14:paraId="16513596" w14:textId="77777777" w:rsidR="00C0381A" w:rsidRDefault="00C0381A" w:rsidP="00EF0BF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E51A379" w14:textId="0F8791F1" w:rsidR="00620C29" w:rsidRPr="004A7A40" w:rsidRDefault="004A7A40" w:rsidP="004A7A40">
      <w:pPr>
        <w:pStyle w:val="Heading1"/>
      </w:pPr>
      <w:r>
        <w:t>References</w:t>
      </w:r>
    </w:p>
    <w:p w14:paraId="05477947" w14:textId="1E2D3E4E" w:rsidR="00EF1791" w:rsidRPr="008E0B6D" w:rsidRDefault="00EF1791" w:rsidP="00EF1791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EF1791">
        <w:rPr>
          <w:sz w:val="20"/>
          <w:szCs w:val="20"/>
        </w:rPr>
        <w:t>RP-213591, Moderator (</w:t>
      </w:r>
      <w:r>
        <w:rPr>
          <w:sz w:val="20"/>
          <w:szCs w:val="20"/>
        </w:rPr>
        <w:t>CMCC</w:t>
      </w:r>
      <w:r w:rsidRPr="00EF1791">
        <w:rPr>
          <w:sz w:val="20"/>
          <w:szCs w:val="20"/>
        </w:rPr>
        <w:t xml:space="preserve">), </w:t>
      </w:r>
      <w:r>
        <w:rPr>
          <w:sz w:val="20"/>
          <w:szCs w:val="20"/>
        </w:rPr>
        <w:t>“</w:t>
      </w:r>
      <w:r w:rsidRPr="00EF1791">
        <w:rPr>
          <w:sz w:val="20"/>
          <w:szCs w:val="20"/>
        </w:rPr>
        <w:t>SID Study on evolution of NR duplex operation</w:t>
      </w:r>
      <w:r>
        <w:rPr>
          <w:sz w:val="20"/>
          <w:szCs w:val="20"/>
        </w:rPr>
        <w:t>”</w:t>
      </w:r>
      <w:r w:rsidRPr="00EF1791">
        <w:rPr>
          <w:sz w:val="20"/>
          <w:szCs w:val="20"/>
          <w:lang w:val="en-GB"/>
        </w:rPr>
        <w:t>, Dec. 2021</w:t>
      </w:r>
    </w:p>
    <w:p w14:paraId="7CB8E8D4" w14:textId="77777777" w:rsidR="004E3086" w:rsidRDefault="008E0B6D" w:rsidP="004E308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 38.828, </w:t>
      </w:r>
      <w:r w:rsidRPr="008E0B6D">
        <w:rPr>
          <w:sz w:val="20"/>
          <w:szCs w:val="20"/>
        </w:rPr>
        <w:t>Cross Link Interference (CLI) handling and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Remote Interference Management (RIM) for NR;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(Release 16)</w:t>
      </w:r>
    </w:p>
    <w:p w14:paraId="361957BB" w14:textId="4ACF15FB" w:rsidR="00EF1791" w:rsidRPr="004E3086" w:rsidRDefault="004E3086" w:rsidP="004E308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R1-2204244, “</w:t>
      </w:r>
      <w:r w:rsidRPr="004E3086">
        <w:rPr>
          <w:sz w:val="20"/>
          <w:szCs w:val="20"/>
        </w:rPr>
        <w:t>Initial evaluation on NR duplex evolution</w:t>
      </w:r>
      <w:r>
        <w:rPr>
          <w:sz w:val="20"/>
          <w:szCs w:val="20"/>
        </w:rPr>
        <w:t>”, Apple Inc., May 2022</w:t>
      </w:r>
    </w:p>
    <w:p w14:paraId="74F364BD" w14:textId="77777777" w:rsidR="00BA1D6C" w:rsidRPr="000B2E59" w:rsidRDefault="00BA1D6C" w:rsidP="00BA1905">
      <w:pPr>
        <w:jc w:val="both"/>
        <w:rPr>
          <w:rFonts w:eastAsia="SimSun"/>
          <w:kern w:val="24"/>
          <w:sz w:val="20"/>
          <w:szCs w:val="20"/>
          <w:lang w:val="en-GB" w:eastAsia="ja-JP"/>
        </w:rPr>
      </w:pPr>
    </w:p>
    <w:sectPr w:rsidR="00BA1D6C" w:rsidRPr="000B2E59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3A78"/>
    <w:multiLevelType w:val="hybridMultilevel"/>
    <w:tmpl w:val="A2EE2D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F4D02EC"/>
    <w:multiLevelType w:val="hybridMultilevel"/>
    <w:tmpl w:val="917A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87033"/>
    <w:multiLevelType w:val="hybridMultilevel"/>
    <w:tmpl w:val="3472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34A15"/>
    <w:multiLevelType w:val="hybridMultilevel"/>
    <w:tmpl w:val="7DB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18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1"/>
  </w:num>
  <w:num w:numId="5" w16cid:durableId="559053736">
    <w:abstractNumId w:val="7"/>
  </w:num>
  <w:num w:numId="6" w16cid:durableId="1855418263">
    <w:abstractNumId w:val="3"/>
  </w:num>
  <w:num w:numId="7" w16cid:durableId="1158962368">
    <w:abstractNumId w:val="4"/>
  </w:num>
  <w:num w:numId="8" w16cid:durableId="124978665">
    <w:abstractNumId w:val="17"/>
  </w:num>
  <w:num w:numId="9" w16cid:durableId="1560631235">
    <w:abstractNumId w:val="3"/>
  </w:num>
  <w:num w:numId="10" w16cid:durableId="1957518174">
    <w:abstractNumId w:val="16"/>
  </w:num>
  <w:num w:numId="11" w16cid:durableId="148325099">
    <w:abstractNumId w:val="20"/>
  </w:num>
  <w:num w:numId="12" w16cid:durableId="1367829081">
    <w:abstractNumId w:val="3"/>
  </w:num>
  <w:num w:numId="13" w16cid:durableId="1458793434">
    <w:abstractNumId w:val="14"/>
  </w:num>
  <w:num w:numId="14" w16cid:durableId="112099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6"/>
  </w:num>
  <w:num w:numId="16" w16cid:durableId="753893123">
    <w:abstractNumId w:val="1"/>
  </w:num>
  <w:num w:numId="17" w16cid:durableId="298189470">
    <w:abstractNumId w:val="5"/>
  </w:num>
  <w:num w:numId="18" w16cid:durableId="967591525">
    <w:abstractNumId w:val="13"/>
  </w:num>
  <w:num w:numId="19" w16cid:durableId="1887063373">
    <w:abstractNumId w:val="2"/>
  </w:num>
  <w:num w:numId="20" w16cid:durableId="995575650">
    <w:abstractNumId w:val="12"/>
  </w:num>
  <w:num w:numId="21" w16cid:durableId="91947407">
    <w:abstractNumId w:val="19"/>
  </w:num>
  <w:num w:numId="22" w16cid:durableId="1051688073">
    <w:abstractNumId w:val="8"/>
  </w:num>
  <w:num w:numId="23" w16cid:durableId="1435397880">
    <w:abstractNumId w:val="10"/>
  </w:num>
  <w:num w:numId="24" w16cid:durableId="25729703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CF"/>
    <w:rsid w:val="000100B5"/>
    <w:rsid w:val="000115C8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650"/>
    <w:rsid w:val="00041988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247"/>
    <w:rsid w:val="000756C7"/>
    <w:rsid w:val="0007732F"/>
    <w:rsid w:val="00081B2B"/>
    <w:rsid w:val="00085223"/>
    <w:rsid w:val="0008670F"/>
    <w:rsid w:val="000923EC"/>
    <w:rsid w:val="000A1890"/>
    <w:rsid w:val="000A2774"/>
    <w:rsid w:val="000A79C9"/>
    <w:rsid w:val="000B2E59"/>
    <w:rsid w:val="000C0C18"/>
    <w:rsid w:val="000C7006"/>
    <w:rsid w:val="000D0F78"/>
    <w:rsid w:val="000D2660"/>
    <w:rsid w:val="000D4A1A"/>
    <w:rsid w:val="000D54C9"/>
    <w:rsid w:val="000E2519"/>
    <w:rsid w:val="000F2C70"/>
    <w:rsid w:val="0010269A"/>
    <w:rsid w:val="001033DC"/>
    <w:rsid w:val="00103EC9"/>
    <w:rsid w:val="00107247"/>
    <w:rsid w:val="0012163E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61E0"/>
    <w:rsid w:val="001801FF"/>
    <w:rsid w:val="0018214E"/>
    <w:rsid w:val="00185A0B"/>
    <w:rsid w:val="0018607A"/>
    <w:rsid w:val="00193222"/>
    <w:rsid w:val="00194BBD"/>
    <w:rsid w:val="0019597B"/>
    <w:rsid w:val="001A18A7"/>
    <w:rsid w:val="001A1E71"/>
    <w:rsid w:val="001A46E8"/>
    <w:rsid w:val="001A4FA2"/>
    <w:rsid w:val="001A5A42"/>
    <w:rsid w:val="001A5F2D"/>
    <w:rsid w:val="001A7C0A"/>
    <w:rsid w:val="001B0BC6"/>
    <w:rsid w:val="001B3F28"/>
    <w:rsid w:val="001B4E23"/>
    <w:rsid w:val="001B5175"/>
    <w:rsid w:val="001B7BEC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041B"/>
    <w:rsid w:val="001E62A2"/>
    <w:rsid w:val="001E73AB"/>
    <w:rsid w:val="001E7C26"/>
    <w:rsid w:val="001F1442"/>
    <w:rsid w:val="001F3B07"/>
    <w:rsid w:val="00203A0D"/>
    <w:rsid w:val="00205FF8"/>
    <w:rsid w:val="002134C9"/>
    <w:rsid w:val="00215CAC"/>
    <w:rsid w:val="0022064E"/>
    <w:rsid w:val="0022367D"/>
    <w:rsid w:val="00227ADC"/>
    <w:rsid w:val="00231473"/>
    <w:rsid w:val="00232779"/>
    <w:rsid w:val="00242650"/>
    <w:rsid w:val="00245D27"/>
    <w:rsid w:val="00252B41"/>
    <w:rsid w:val="002562BF"/>
    <w:rsid w:val="00256314"/>
    <w:rsid w:val="00256E42"/>
    <w:rsid w:val="00263926"/>
    <w:rsid w:val="00266E0F"/>
    <w:rsid w:val="002672E4"/>
    <w:rsid w:val="00270C5A"/>
    <w:rsid w:val="0027181A"/>
    <w:rsid w:val="00274F27"/>
    <w:rsid w:val="00277B82"/>
    <w:rsid w:val="002814E7"/>
    <w:rsid w:val="00284AB0"/>
    <w:rsid w:val="00285B13"/>
    <w:rsid w:val="0029000E"/>
    <w:rsid w:val="002948FF"/>
    <w:rsid w:val="0029769A"/>
    <w:rsid w:val="002A1F80"/>
    <w:rsid w:val="002A274D"/>
    <w:rsid w:val="002A5B21"/>
    <w:rsid w:val="002A7EFF"/>
    <w:rsid w:val="002B0171"/>
    <w:rsid w:val="002B21D4"/>
    <w:rsid w:val="002B72F3"/>
    <w:rsid w:val="002C1494"/>
    <w:rsid w:val="002C2CE9"/>
    <w:rsid w:val="002C4EFD"/>
    <w:rsid w:val="002C7880"/>
    <w:rsid w:val="002C796C"/>
    <w:rsid w:val="002D2CAA"/>
    <w:rsid w:val="002D2FF0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1CE0"/>
    <w:rsid w:val="0031378A"/>
    <w:rsid w:val="00315F36"/>
    <w:rsid w:val="00322AFC"/>
    <w:rsid w:val="003262D0"/>
    <w:rsid w:val="00326AED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42E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E0060"/>
    <w:rsid w:val="003E0B46"/>
    <w:rsid w:val="003E66DF"/>
    <w:rsid w:val="003E75B6"/>
    <w:rsid w:val="003F33CB"/>
    <w:rsid w:val="0041336F"/>
    <w:rsid w:val="00414973"/>
    <w:rsid w:val="0041645E"/>
    <w:rsid w:val="00417FC9"/>
    <w:rsid w:val="00427C39"/>
    <w:rsid w:val="004312F7"/>
    <w:rsid w:val="00434E5C"/>
    <w:rsid w:val="0044499D"/>
    <w:rsid w:val="00445788"/>
    <w:rsid w:val="00446F00"/>
    <w:rsid w:val="004504F1"/>
    <w:rsid w:val="0045482E"/>
    <w:rsid w:val="00457F5D"/>
    <w:rsid w:val="00461B15"/>
    <w:rsid w:val="00462035"/>
    <w:rsid w:val="00466F57"/>
    <w:rsid w:val="004704C9"/>
    <w:rsid w:val="00472D33"/>
    <w:rsid w:val="00473F4B"/>
    <w:rsid w:val="004752EB"/>
    <w:rsid w:val="004837C5"/>
    <w:rsid w:val="00485EDE"/>
    <w:rsid w:val="004A2991"/>
    <w:rsid w:val="004A41EF"/>
    <w:rsid w:val="004A5D6B"/>
    <w:rsid w:val="004A7A40"/>
    <w:rsid w:val="004B3124"/>
    <w:rsid w:val="004B368D"/>
    <w:rsid w:val="004B3DF5"/>
    <w:rsid w:val="004B4D8D"/>
    <w:rsid w:val="004B5BDB"/>
    <w:rsid w:val="004B74CC"/>
    <w:rsid w:val="004C4A14"/>
    <w:rsid w:val="004C6ABA"/>
    <w:rsid w:val="004C7036"/>
    <w:rsid w:val="004E01AD"/>
    <w:rsid w:val="004E3086"/>
    <w:rsid w:val="004E6D4D"/>
    <w:rsid w:val="004F0CA8"/>
    <w:rsid w:val="00500DE7"/>
    <w:rsid w:val="0050600B"/>
    <w:rsid w:val="005062CA"/>
    <w:rsid w:val="00510C62"/>
    <w:rsid w:val="00513928"/>
    <w:rsid w:val="00517ADD"/>
    <w:rsid w:val="00520081"/>
    <w:rsid w:val="00521183"/>
    <w:rsid w:val="00523D91"/>
    <w:rsid w:val="0052593A"/>
    <w:rsid w:val="00526C5F"/>
    <w:rsid w:val="005327E9"/>
    <w:rsid w:val="00532BAF"/>
    <w:rsid w:val="0053782C"/>
    <w:rsid w:val="0054222B"/>
    <w:rsid w:val="00543C04"/>
    <w:rsid w:val="0055574E"/>
    <w:rsid w:val="00556671"/>
    <w:rsid w:val="00561D69"/>
    <w:rsid w:val="00561E94"/>
    <w:rsid w:val="00562D2B"/>
    <w:rsid w:val="00571C1E"/>
    <w:rsid w:val="00574720"/>
    <w:rsid w:val="00576934"/>
    <w:rsid w:val="0057794A"/>
    <w:rsid w:val="0058134C"/>
    <w:rsid w:val="00583230"/>
    <w:rsid w:val="00591DF5"/>
    <w:rsid w:val="00593FCB"/>
    <w:rsid w:val="0059417B"/>
    <w:rsid w:val="00596063"/>
    <w:rsid w:val="0059787C"/>
    <w:rsid w:val="005B0F7A"/>
    <w:rsid w:val="005B1AD1"/>
    <w:rsid w:val="005B6997"/>
    <w:rsid w:val="005C7B97"/>
    <w:rsid w:val="005D45F7"/>
    <w:rsid w:val="005D5175"/>
    <w:rsid w:val="005D5233"/>
    <w:rsid w:val="005D5F39"/>
    <w:rsid w:val="005D5FF3"/>
    <w:rsid w:val="005E18E3"/>
    <w:rsid w:val="005E25D9"/>
    <w:rsid w:val="005E44F4"/>
    <w:rsid w:val="005E5E14"/>
    <w:rsid w:val="005F15CC"/>
    <w:rsid w:val="005F7A0E"/>
    <w:rsid w:val="00600FC5"/>
    <w:rsid w:val="00604C3D"/>
    <w:rsid w:val="0061765C"/>
    <w:rsid w:val="00620C29"/>
    <w:rsid w:val="00622552"/>
    <w:rsid w:val="00624E1C"/>
    <w:rsid w:val="00626534"/>
    <w:rsid w:val="006310E9"/>
    <w:rsid w:val="00631A14"/>
    <w:rsid w:val="006337E5"/>
    <w:rsid w:val="00634AF5"/>
    <w:rsid w:val="00634B61"/>
    <w:rsid w:val="00636D7B"/>
    <w:rsid w:val="00641951"/>
    <w:rsid w:val="0064204C"/>
    <w:rsid w:val="00645994"/>
    <w:rsid w:val="006531B1"/>
    <w:rsid w:val="00654D1D"/>
    <w:rsid w:val="00656CB0"/>
    <w:rsid w:val="00660BC6"/>
    <w:rsid w:val="00660CC8"/>
    <w:rsid w:val="00663A24"/>
    <w:rsid w:val="00666868"/>
    <w:rsid w:val="006700A5"/>
    <w:rsid w:val="00672A3E"/>
    <w:rsid w:val="006742F1"/>
    <w:rsid w:val="00675931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4F66"/>
    <w:rsid w:val="006D54CF"/>
    <w:rsid w:val="006E6598"/>
    <w:rsid w:val="006F07E3"/>
    <w:rsid w:val="006F0EC9"/>
    <w:rsid w:val="006F1302"/>
    <w:rsid w:val="006F274D"/>
    <w:rsid w:val="006F66D2"/>
    <w:rsid w:val="00707829"/>
    <w:rsid w:val="0071089C"/>
    <w:rsid w:val="00720BE8"/>
    <w:rsid w:val="00720EBF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660E5"/>
    <w:rsid w:val="00770366"/>
    <w:rsid w:val="00771C09"/>
    <w:rsid w:val="007720DD"/>
    <w:rsid w:val="007727CB"/>
    <w:rsid w:val="007740EF"/>
    <w:rsid w:val="0078114E"/>
    <w:rsid w:val="007A1F9E"/>
    <w:rsid w:val="007A41E3"/>
    <w:rsid w:val="007B273D"/>
    <w:rsid w:val="007B5221"/>
    <w:rsid w:val="007C232B"/>
    <w:rsid w:val="007D17A9"/>
    <w:rsid w:val="007D7F00"/>
    <w:rsid w:val="007E03DA"/>
    <w:rsid w:val="007E2553"/>
    <w:rsid w:val="007E3054"/>
    <w:rsid w:val="007E4A87"/>
    <w:rsid w:val="007E54EF"/>
    <w:rsid w:val="007E554B"/>
    <w:rsid w:val="007E6FF6"/>
    <w:rsid w:val="007F128C"/>
    <w:rsid w:val="007F4737"/>
    <w:rsid w:val="00802205"/>
    <w:rsid w:val="0081070A"/>
    <w:rsid w:val="00813F25"/>
    <w:rsid w:val="00816874"/>
    <w:rsid w:val="00816C7F"/>
    <w:rsid w:val="00817536"/>
    <w:rsid w:val="00817D2C"/>
    <w:rsid w:val="00820D52"/>
    <w:rsid w:val="00821C78"/>
    <w:rsid w:val="00822058"/>
    <w:rsid w:val="008236A0"/>
    <w:rsid w:val="008251EA"/>
    <w:rsid w:val="00830BA2"/>
    <w:rsid w:val="008331B0"/>
    <w:rsid w:val="00834862"/>
    <w:rsid w:val="00836817"/>
    <w:rsid w:val="00860F75"/>
    <w:rsid w:val="0086391A"/>
    <w:rsid w:val="00866ED5"/>
    <w:rsid w:val="00871978"/>
    <w:rsid w:val="0087477F"/>
    <w:rsid w:val="00880ECD"/>
    <w:rsid w:val="00882A4D"/>
    <w:rsid w:val="00882D87"/>
    <w:rsid w:val="00884A96"/>
    <w:rsid w:val="00887C4A"/>
    <w:rsid w:val="00887DE8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E0B6D"/>
    <w:rsid w:val="008F0E83"/>
    <w:rsid w:val="008F11CC"/>
    <w:rsid w:val="008F24A4"/>
    <w:rsid w:val="00901D2D"/>
    <w:rsid w:val="00906E5E"/>
    <w:rsid w:val="00907ABC"/>
    <w:rsid w:val="00911E05"/>
    <w:rsid w:val="00911EFA"/>
    <w:rsid w:val="009169C4"/>
    <w:rsid w:val="00916E49"/>
    <w:rsid w:val="00920227"/>
    <w:rsid w:val="00922589"/>
    <w:rsid w:val="00922BBD"/>
    <w:rsid w:val="00923A3D"/>
    <w:rsid w:val="009242FD"/>
    <w:rsid w:val="00927D99"/>
    <w:rsid w:val="00927D9E"/>
    <w:rsid w:val="0093002C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B0E3C"/>
    <w:rsid w:val="009B7EB1"/>
    <w:rsid w:val="009C3BBA"/>
    <w:rsid w:val="009C4CA6"/>
    <w:rsid w:val="009C53B3"/>
    <w:rsid w:val="009D18CF"/>
    <w:rsid w:val="009D1C4F"/>
    <w:rsid w:val="009E0E57"/>
    <w:rsid w:val="009E16AA"/>
    <w:rsid w:val="009E2F96"/>
    <w:rsid w:val="009F58CE"/>
    <w:rsid w:val="009F7D20"/>
    <w:rsid w:val="00A11012"/>
    <w:rsid w:val="00A11EE9"/>
    <w:rsid w:val="00A13349"/>
    <w:rsid w:val="00A1371C"/>
    <w:rsid w:val="00A13AE3"/>
    <w:rsid w:val="00A14D2A"/>
    <w:rsid w:val="00A153FF"/>
    <w:rsid w:val="00A17A22"/>
    <w:rsid w:val="00A20F2F"/>
    <w:rsid w:val="00A2619E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805B9"/>
    <w:rsid w:val="00A80DF8"/>
    <w:rsid w:val="00A81738"/>
    <w:rsid w:val="00A86777"/>
    <w:rsid w:val="00A9213A"/>
    <w:rsid w:val="00A93DEE"/>
    <w:rsid w:val="00A95A78"/>
    <w:rsid w:val="00AA286C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2539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15B3"/>
    <w:rsid w:val="00B33343"/>
    <w:rsid w:val="00B3398E"/>
    <w:rsid w:val="00B4058C"/>
    <w:rsid w:val="00B43C9D"/>
    <w:rsid w:val="00B6127B"/>
    <w:rsid w:val="00B63683"/>
    <w:rsid w:val="00B658E6"/>
    <w:rsid w:val="00B67EFB"/>
    <w:rsid w:val="00B71E1B"/>
    <w:rsid w:val="00B72388"/>
    <w:rsid w:val="00B75DD5"/>
    <w:rsid w:val="00B76E3D"/>
    <w:rsid w:val="00B80C85"/>
    <w:rsid w:val="00B816BB"/>
    <w:rsid w:val="00B818F1"/>
    <w:rsid w:val="00B83E2D"/>
    <w:rsid w:val="00B86B50"/>
    <w:rsid w:val="00B875E8"/>
    <w:rsid w:val="00B90F77"/>
    <w:rsid w:val="00B931DB"/>
    <w:rsid w:val="00B96152"/>
    <w:rsid w:val="00BA1905"/>
    <w:rsid w:val="00BA1D6C"/>
    <w:rsid w:val="00BA2E33"/>
    <w:rsid w:val="00BB5B03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740B"/>
    <w:rsid w:val="00BE0401"/>
    <w:rsid w:val="00BE2B6D"/>
    <w:rsid w:val="00BE3F2D"/>
    <w:rsid w:val="00BE7BD0"/>
    <w:rsid w:val="00BF1DF3"/>
    <w:rsid w:val="00BF487F"/>
    <w:rsid w:val="00BF6DEF"/>
    <w:rsid w:val="00C0381A"/>
    <w:rsid w:val="00C0753A"/>
    <w:rsid w:val="00C20B5B"/>
    <w:rsid w:val="00C2111A"/>
    <w:rsid w:val="00C36E32"/>
    <w:rsid w:val="00C405FD"/>
    <w:rsid w:val="00C434FF"/>
    <w:rsid w:val="00C46B5C"/>
    <w:rsid w:val="00C5338B"/>
    <w:rsid w:val="00C5663A"/>
    <w:rsid w:val="00C65264"/>
    <w:rsid w:val="00C6638D"/>
    <w:rsid w:val="00C66A4A"/>
    <w:rsid w:val="00C67202"/>
    <w:rsid w:val="00C70860"/>
    <w:rsid w:val="00C74ED4"/>
    <w:rsid w:val="00C74F48"/>
    <w:rsid w:val="00C762ED"/>
    <w:rsid w:val="00C8088E"/>
    <w:rsid w:val="00C84FE2"/>
    <w:rsid w:val="00C8761A"/>
    <w:rsid w:val="00C90BE2"/>
    <w:rsid w:val="00C92AEE"/>
    <w:rsid w:val="00C97556"/>
    <w:rsid w:val="00CA24D4"/>
    <w:rsid w:val="00CA3110"/>
    <w:rsid w:val="00CA48D8"/>
    <w:rsid w:val="00CB1134"/>
    <w:rsid w:val="00CB3368"/>
    <w:rsid w:val="00CB39B6"/>
    <w:rsid w:val="00CB5A91"/>
    <w:rsid w:val="00CB5D21"/>
    <w:rsid w:val="00CC0C38"/>
    <w:rsid w:val="00CC3519"/>
    <w:rsid w:val="00CC7F53"/>
    <w:rsid w:val="00CD27DB"/>
    <w:rsid w:val="00CE171E"/>
    <w:rsid w:val="00CE2EA5"/>
    <w:rsid w:val="00CE7503"/>
    <w:rsid w:val="00CF0B0B"/>
    <w:rsid w:val="00CF1E92"/>
    <w:rsid w:val="00D000EB"/>
    <w:rsid w:val="00D04A53"/>
    <w:rsid w:val="00D06101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3103"/>
    <w:rsid w:val="00D24E9A"/>
    <w:rsid w:val="00D263F1"/>
    <w:rsid w:val="00D313A3"/>
    <w:rsid w:val="00D31D9D"/>
    <w:rsid w:val="00D40277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57E64"/>
    <w:rsid w:val="00D623A6"/>
    <w:rsid w:val="00D776B7"/>
    <w:rsid w:val="00D82BE1"/>
    <w:rsid w:val="00D83D3F"/>
    <w:rsid w:val="00D9083F"/>
    <w:rsid w:val="00D92B3F"/>
    <w:rsid w:val="00DA3C55"/>
    <w:rsid w:val="00DA570C"/>
    <w:rsid w:val="00DA5EB1"/>
    <w:rsid w:val="00DB1A36"/>
    <w:rsid w:val="00DB481F"/>
    <w:rsid w:val="00DB4A10"/>
    <w:rsid w:val="00DB7E54"/>
    <w:rsid w:val="00DC1188"/>
    <w:rsid w:val="00DD6B42"/>
    <w:rsid w:val="00DE5C43"/>
    <w:rsid w:val="00DF0066"/>
    <w:rsid w:val="00DF4C2B"/>
    <w:rsid w:val="00E00694"/>
    <w:rsid w:val="00E104F1"/>
    <w:rsid w:val="00E10633"/>
    <w:rsid w:val="00E11B95"/>
    <w:rsid w:val="00E11EDC"/>
    <w:rsid w:val="00E12DDA"/>
    <w:rsid w:val="00E27C0E"/>
    <w:rsid w:val="00E30225"/>
    <w:rsid w:val="00E327AE"/>
    <w:rsid w:val="00E344A2"/>
    <w:rsid w:val="00E35546"/>
    <w:rsid w:val="00E35592"/>
    <w:rsid w:val="00E4025A"/>
    <w:rsid w:val="00E41989"/>
    <w:rsid w:val="00E479E0"/>
    <w:rsid w:val="00E50BFF"/>
    <w:rsid w:val="00E55EB5"/>
    <w:rsid w:val="00E56A0E"/>
    <w:rsid w:val="00E60394"/>
    <w:rsid w:val="00E614BF"/>
    <w:rsid w:val="00E7599B"/>
    <w:rsid w:val="00E75B21"/>
    <w:rsid w:val="00E80518"/>
    <w:rsid w:val="00E83E9A"/>
    <w:rsid w:val="00E852C2"/>
    <w:rsid w:val="00E913CB"/>
    <w:rsid w:val="00E930EE"/>
    <w:rsid w:val="00E96857"/>
    <w:rsid w:val="00E96C6C"/>
    <w:rsid w:val="00EA02A2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2DD0"/>
    <w:rsid w:val="00EE043A"/>
    <w:rsid w:val="00EE18CC"/>
    <w:rsid w:val="00EE35BB"/>
    <w:rsid w:val="00EE70D2"/>
    <w:rsid w:val="00EF0063"/>
    <w:rsid w:val="00EF0BF7"/>
    <w:rsid w:val="00EF1791"/>
    <w:rsid w:val="00EF2DEE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4B12"/>
    <w:rsid w:val="00F4652D"/>
    <w:rsid w:val="00F47BC0"/>
    <w:rsid w:val="00F52ED3"/>
    <w:rsid w:val="00F66AC9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9469A"/>
    <w:rsid w:val="00FA0560"/>
    <w:rsid w:val="00FA08D6"/>
    <w:rsid w:val="00FA0DD1"/>
    <w:rsid w:val="00FA2F4C"/>
    <w:rsid w:val="00FA3A61"/>
    <w:rsid w:val="00FA48C3"/>
    <w:rsid w:val="00FA5BF8"/>
    <w:rsid w:val="00FD41C4"/>
    <w:rsid w:val="00FE0A18"/>
    <w:rsid w:val="00FE1F8E"/>
    <w:rsid w:val="00FE2969"/>
    <w:rsid w:val="00FE3326"/>
    <w:rsid w:val="00FE455C"/>
    <w:rsid w:val="00FE5522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B0B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TAN">
    <w:name w:val="TAN"/>
    <w:basedOn w:val="TAL"/>
    <w:link w:val="TANChar"/>
    <w:rsid w:val="004A7A40"/>
    <w:pPr>
      <w:overflowPunct/>
      <w:autoSpaceDE/>
      <w:autoSpaceDN/>
      <w:adjustRightInd/>
      <w:ind w:left="851" w:hanging="851"/>
      <w:textAlignment w:val="auto"/>
    </w:pPr>
    <w:rPr>
      <w:rFonts w:eastAsia="MS Mincho"/>
    </w:rPr>
  </w:style>
  <w:style w:type="paragraph" w:customStyle="1" w:styleId="Tabletext">
    <w:name w:val="Table_text"/>
    <w:basedOn w:val="Normal"/>
    <w:link w:val="TabletextChar"/>
    <w:rsid w:val="004A7A4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TabletextChar">
    <w:name w:val="Table_text Char"/>
    <w:link w:val="Tabletext"/>
    <w:locked/>
    <w:rsid w:val="004A7A40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ocked/>
    <w:rsid w:val="004A7A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A7A40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53</cp:revision>
  <dcterms:created xsi:type="dcterms:W3CDTF">2022-04-11T01:34:00Z</dcterms:created>
  <dcterms:modified xsi:type="dcterms:W3CDTF">2022-08-12T17:03:00Z</dcterms:modified>
</cp:coreProperties>
</file>